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3"/>
        <w:ind w:firstLine="0"/>
        <w:spacing w:after="24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Информация</w:t>
      </w:r>
      <w:r>
        <w:rPr>
          <w:iCs/>
          <w:color w:val="000000"/>
          <w:sz w:val="28"/>
          <w:szCs w:val="28"/>
        </w:rPr>
        <w:br w:type="textWrapping" w:clear="all"/>
      </w:r>
      <w:r>
        <w:rPr>
          <w:iCs/>
          <w:color w:val="000000"/>
          <w:sz w:val="28"/>
          <w:szCs w:val="28"/>
        </w:rPr>
        <w:t xml:space="preserve">о проведенн</w:t>
      </w:r>
      <w:r>
        <w:rPr>
          <w:iCs/>
          <w:color w:val="000000"/>
          <w:sz w:val="28"/>
          <w:szCs w:val="28"/>
        </w:rPr>
        <w:t xml:space="preserve">ых</w:t>
      </w:r>
      <w:r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 xml:space="preserve">аудиторских</w:t>
      </w:r>
      <w:r>
        <w:rPr>
          <w:iCs/>
          <w:color w:val="000000"/>
          <w:sz w:val="28"/>
          <w:szCs w:val="28"/>
        </w:rPr>
        <w:t xml:space="preserve"> мероприяти</w:t>
      </w:r>
      <w:r>
        <w:rPr>
          <w:iCs/>
          <w:color w:val="000000"/>
          <w:sz w:val="28"/>
          <w:szCs w:val="28"/>
        </w:rPr>
        <w:t xml:space="preserve">ях</w:t>
      </w:r>
      <w:r>
        <w:rPr>
          <w:iCs/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Управлени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 Федерального казначейства по Тверской области</w:t>
      </w:r>
      <w:r>
        <w:rPr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Во исполнение </w:t>
      </w:r>
      <w:r>
        <w:rPr>
          <w:rFonts w:ascii="Times New Roman" w:hAnsi="Times New Roman"/>
          <w:color w:val="000000"/>
          <w:sz w:val="28"/>
          <w:szCs w:val="28"/>
        </w:rPr>
        <w:t xml:space="preserve">пункта </w:t>
      </w:r>
      <w:r>
        <w:rPr>
          <w:rFonts w:ascii="Times New Roman" w:hAnsi="Times New Roman"/>
          <w:color w:val="000000"/>
          <w:sz w:val="28"/>
          <w:szCs w:val="28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</w:rPr>
        <w:t xml:space="preserve"> плана проведения аудиторского мероприятия Управления Федерального казначейс</w:t>
      </w:r>
      <w:r>
        <w:rPr>
          <w:rFonts w:ascii="Times New Roman" w:hAnsi="Times New Roman"/>
          <w:color w:val="000000"/>
          <w:sz w:val="28"/>
          <w:szCs w:val="28"/>
        </w:rPr>
        <w:t xml:space="preserve">тва по Тверской области на 2026</w:t>
      </w:r>
      <w:r>
        <w:rPr>
          <w:rFonts w:ascii="Times New Roman" w:hAnsi="Times New Roman"/>
          <w:color w:val="000000"/>
          <w:sz w:val="28"/>
          <w:szCs w:val="28"/>
        </w:rPr>
        <w:t xml:space="preserve"> год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</w:r>
      <w:r>
        <w:rPr>
          <w:rFonts w:ascii="Times New Roman" w:hAnsi="Times New Roman"/>
          <w:color w:val="000000"/>
          <w:sz w:val="28"/>
          <w:szCs w:val="28"/>
        </w:rPr>
        <w:t xml:space="preserve">(далее – Управление), утвержденного </w:t>
      </w:r>
      <w:r>
        <w:rPr>
          <w:rFonts w:ascii="Times New Roman" w:hAnsi="Times New Roman"/>
          <w:color w:val="000000"/>
          <w:sz w:val="28"/>
          <w:szCs w:val="28"/>
        </w:rPr>
        <w:t xml:space="preserve">руководителем</w:t>
      </w:r>
      <w:r>
        <w:rPr>
          <w:rFonts w:ascii="Times New Roman" w:hAnsi="Times New Roman"/>
          <w:color w:val="000000"/>
          <w:sz w:val="28"/>
          <w:szCs w:val="28"/>
        </w:rPr>
        <w:t xml:space="preserve"> Управления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Яном</w:t>
      </w:r>
      <w:r>
        <w:rPr>
          <w:rFonts w:ascii="Times New Roman" w:hAnsi="Times New Roman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Д.Х.</w:t>
        <w:br w:type="textWrapping" w:clear="all"/>
      </w:r>
      <w:r>
        <w:rPr>
          <w:rFonts w:ascii="Times New Roman" w:hAnsi="Times New Roman"/>
          <w:color w:val="000000"/>
          <w:sz w:val="28"/>
          <w:szCs w:val="28"/>
        </w:rPr>
        <w:t xml:space="preserve">22</w:t>
      </w:r>
      <w:r>
        <w:rPr>
          <w:rFonts w:ascii="Times New Roman" w:hAnsi="Times New Roman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декабря</w:t>
      </w:r>
      <w:r>
        <w:rPr>
          <w:rFonts w:ascii="Times New Roman" w:hAnsi="Times New Roman"/>
          <w:color w:val="000000"/>
          <w:sz w:val="28"/>
          <w:szCs w:val="28"/>
        </w:rPr>
        <w:t xml:space="preserve"> 202</w:t>
      </w:r>
      <w:r>
        <w:rPr>
          <w:rFonts w:ascii="Times New Roman" w:hAnsi="Times New Roman"/>
          <w:color w:val="000000"/>
          <w:sz w:val="28"/>
          <w:szCs w:val="28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</w:rPr>
        <w:t xml:space="preserve"> г.</w:t>
      </w:r>
      <w:r>
        <w:rPr>
          <w:rFonts w:ascii="Times New Roman" w:hAnsi="Times New Roman"/>
          <w:color w:val="000000"/>
          <w:sz w:val="28"/>
          <w:szCs w:val="28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</w:t>
      </w:r>
      <w:r>
        <w:rPr>
          <w:rFonts w:ascii="Times New Roman" w:hAnsi="Times New Roman"/>
          <w:color w:val="000000"/>
          <w:sz w:val="28"/>
          <w:szCs w:val="28"/>
        </w:rPr>
        <w:t xml:space="preserve">с п</w:t>
      </w:r>
      <w:r>
        <w:rPr>
          <w:rFonts w:ascii="Times New Roman" w:hAnsi="Times New Roman"/>
          <w:color w:val="000000"/>
          <w:sz w:val="28"/>
          <w:szCs w:val="28"/>
        </w:rPr>
        <w:t xml:space="preserve">рограммой</w:t>
      </w:r>
      <w:r>
        <w:rPr>
          <w:rFonts w:ascii="Times New Roman" w:hAnsi="Times New Roman"/>
          <w:color w:val="000000"/>
          <w:sz w:val="28"/>
          <w:szCs w:val="28"/>
        </w:rPr>
        <w:t xml:space="preserve"> аудиторского мероприятия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</w:r>
      <w:r>
        <w:rPr>
          <w:rFonts w:ascii="Times New Roman" w:hAnsi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/>
          <w:color w:val="000000"/>
          <w:sz w:val="28"/>
          <w:szCs w:val="28"/>
        </w:rPr>
        <w:t xml:space="preserve">подтверждению соответствия порядка ведения бюджетного учета субъектов централизованного учета единой методологии учета и отчетности за период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</w:r>
      <w:r>
        <w:rPr>
          <w:rFonts w:ascii="Times New Roman" w:hAnsi="Times New Roman"/>
          <w:color w:val="000000"/>
          <w:sz w:val="28"/>
          <w:szCs w:val="28"/>
        </w:rPr>
        <w:t xml:space="preserve">с 1 января 2025</w:t>
      </w:r>
      <w:r>
        <w:rPr>
          <w:rFonts w:ascii="Times New Roman" w:hAnsi="Times New Roman"/>
          <w:color w:val="000000"/>
          <w:sz w:val="28"/>
          <w:szCs w:val="28"/>
        </w:rPr>
        <w:t xml:space="preserve"> года по 31</w:t>
      </w:r>
      <w:r>
        <w:rPr>
          <w:rFonts w:ascii="Times New Roman" w:hAnsi="Times New Roman"/>
          <w:color w:val="000000"/>
          <w:sz w:val="28"/>
          <w:szCs w:val="28"/>
        </w:rPr>
        <w:t xml:space="preserve"> марта 2026</w:t>
      </w:r>
      <w:r>
        <w:rPr>
          <w:rFonts w:ascii="Times New Roman" w:hAnsi="Times New Roman"/>
          <w:color w:val="000000"/>
          <w:sz w:val="28"/>
          <w:szCs w:val="28"/>
        </w:rPr>
        <w:t xml:space="preserve"> года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утвержденной руководителем </w:t>
      </w:r>
      <w:r>
        <w:rPr>
          <w:rFonts w:ascii="Times New Roman" w:hAnsi="Times New Roman"/>
          <w:color w:val="000000"/>
          <w:sz w:val="28"/>
          <w:szCs w:val="28"/>
        </w:rPr>
        <w:t xml:space="preserve">субъекта внутреннего финансового аудита начальни</w:t>
      </w:r>
      <w:r>
        <w:rPr>
          <w:rFonts w:ascii="Times New Roman" w:hAnsi="Times New Roman"/>
          <w:color w:val="000000"/>
          <w:sz w:val="28"/>
          <w:szCs w:val="28"/>
        </w:rPr>
        <w:t xml:space="preserve">ком отдела внутреннего контроля</w:t>
        <w:br w:type="textWrapping" w:clear="all"/>
      </w:r>
      <w:r>
        <w:rPr>
          <w:rFonts w:ascii="Times New Roman" w:hAnsi="Times New Roman"/>
          <w:color w:val="000000"/>
          <w:sz w:val="28"/>
          <w:szCs w:val="28"/>
        </w:rPr>
        <w:t xml:space="preserve">и аудита Управления Д</w:t>
      </w:r>
      <w:r>
        <w:rPr>
          <w:rFonts w:ascii="Times New Roman" w:hAnsi="Times New Roman"/>
          <w:color w:val="000000"/>
          <w:sz w:val="28"/>
          <w:szCs w:val="28"/>
        </w:rPr>
        <w:t xml:space="preserve">вужиловой</w:t>
      </w:r>
      <w:r>
        <w:rPr>
          <w:rFonts w:ascii="Times New Roman" w:hAnsi="Times New Roman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А.В. </w:t>
      </w:r>
      <w:r>
        <w:rPr>
          <w:rFonts w:ascii="Times New Roman" w:hAnsi="Times New Roman"/>
          <w:color w:val="000000"/>
          <w:sz w:val="28"/>
          <w:szCs w:val="28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июня</w:t>
      </w:r>
      <w:r>
        <w:rPr>
          <w:rFonts w:ascii="Times New Roman" w:hAnsi="Times New Roman"/>
          <w:color w:val="000000"/>
          <w:sz w:val="28"/>
          <w:szCs w:val="28"/>
        </w:rPr>
        <w:t xml:space="preserve"> 202</w:t>
      </w:r>
      <w:r>
        <w:rPr>
          <w:rFonts w:ascii="Times New Roman" w:hAnsi="Times New Roman"/>
          <w:color w:val="000000"/>
          <w:sz w:val="28"/>
          <w:szCs w:val="28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 г.</w:t>
      </w:r>
      <w:r>
        <w:rPr>
          <w:rFonts w:ascii="Times New Roman" w:hAnsi="Times New Roman"/>
          <w:color w:val="000000"/>
          <w:sz w:val="28"/>
          <w:szCs w:val="28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отделом</w:t>
      </w:r>
      <w:r>
        <w:rPr>
          <w:rFonts w:ascii="Times New Roman" w:hAnsi="Times New Roman"/>
          <w:color w:val="000000"/>
          <w:sz w:val="28"/>
          <w:szCs w:val="28"/>
        </w:rPr>
        <w:t xml:space="preserve"> внутреннего контроля и</w:t>
      </w:r>
      <w:r>
        <w:rPr>
          <w:rFonts w:ascii="Times New Roman" w:hAnsi="Times New Roman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аудита Управления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4</w:t>
      </w: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по </w:t>
      </w:r>
      <w:r>
        <w:rPr>
          <w:rFonts w:ascii="Times New Roman" w:hAnsi="Times New Roman"/>
          <w:sz w:val="28"/>
          <w:szCs w:val="28"/>
        </w:rPr>
        <w:t xml:space="preserve">30 июня</w:t>
      </w:r>
      <w:r>
        <w:rPr>
          <w:rFonts w:ascii="Times New Roman" w:hAnsi="Times New Roman"/>
          <w:sz w:val="28"/>
          <w:szCs w:val="28"/>
        </w:rPr>
        <w:t xml:space="preserve"> 2026</w:t>
      </w:r>
      <w:r>
        <w:rPr>
          <w:rFonts w:ascii="Times New Roman" w:hAnsi="Times New Roman"/>
          <w:sz w:val="28"/>
          <w:szCs w:val="28"/>
        </w:rPr>
        <w:t xml:space="preserve"> года</w:t>
      </w:r>
      <w:r>
        <w:rPr>
          <w:rFonts w:ascii="Times New Roman" w:hAnsi="Times New Roman"/>
          <w:color w:val="000000"/>
          <w:sz w:val="28"/>
          <w:szCs w:val="28"/>
        </w:rPr>
        <w:t xml:space="preserve"> проведены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аудиторские мероприятия 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следующих </w:t>
      </w:r>
      <w:r>
        <w:rPr>
          <w:rFonts w:ascii="Times New Roman" w:hAnsi="Times New Roman"/>
          <w:color w:val="000000"/>
          <w:sz w:val="28"/>
          <w:szCs w:val="28"/>
        </w:rPr>
        <w:t xml:space="preserve">субъектах централизованного учета Управления: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Межрегиональное 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№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141 Федерального медико-биологического </w:t>
      </w:r>
      <w:r>
        <w:rPr>
          <w:rFonts w:ascii="Times New Roman" w:hAnsi="Times New Roman"/>
          <w:color w:val="000000"/>
          <w:sz w:val="28"/>
          <w:szCs w:val="28"/>
        </w:rPr>
        <w:t xml:space="preserve">агентства;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службы государственной регистрации, кадастра и картографии по Тверской области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;</w:t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670"/>
        <w:ind w:left="709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антимонопольной службы по Тверской области</w:t>
      </w:r>
      <w:r>
        <w:rPr>
          <w:rFonts w:ascii="Times New Roman" w:hAnsi="Times New Roman"/>
          <w:color w:val="000000"/>
          <w:sz w:val="28"/>
          <w:szCs w:val="28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службы по надзору в сфере связи, информационных технологий и массовых коммуникаций по Тверской области;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Территориальный орган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службы государственной статистики по Тверской </w:t>
      </w:r>
      <w:r>
        <w:rPr>
          <w:rFonts w:ascii="Times New Roman" w:hAnsi="Times New Roman"/>
          <w:color w:val="000000"/>
          <w:sz w:val="28"/>
          <w:szCs w:val="28"/>
        </w:rPr>
        <w:t xml:space="preserve">области;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службы по ветеринарному и фитосанитарному надзору по Тверской и Ярославским областям;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Территориальный</w:t>
      </w:r>
      <w:r>
        <w:rPr>
          <w:rFonts w:ascii="Times New Roman" w:hAnsi="Times New Roman"/>
          <w:color w:val="000000"/>
          <w:sz w:val="28"/>
          <w:szCs w:val="28"/>
        </w:rPr>
        <w:t xml:space="preserve"> орган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службы по надзору в сфере</w:t>
        <w:br w:type="textWrapping" w:clear="all"/>
        <w:t xml:space="preserve">здравоохранения по Тверской области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;</w:t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Федеральной службы по надзору в сфере защиты прав потребителей и благополучия человека по Тверской области;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– </w:t>
      </w:r>
      <w:r>
        <w:rPr>
          <w:rFonts w:ascii="Times New Roman" w:hAnsi="Times New Roman"/>
          <w:color w:val="000000"/>
          <w:sz w:val="28"/>
          <w:szCs w:val="28"/>
        </w:rPr>
        <w:t xml:space="preserve">Территориальное управление</w:t>
      </w:r>
      <w:r>
        <w:rPr>
          <w:rFonts w:ascii="Times New Roman" w:hAnsi="Times New Roman"/>
          <w:color w:val="000000"/>
          <w:sz w:val="28"/>
          <w:szCs w:val="28"/>
        </w:rPr>
        <w:t xml:space="preserve"> Федерального агентства по управлению государственным имуществом в Тверской области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Style w:val="674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Аудиторские мероприятия по вопросу соответствия порядка ведения бюджетного учета субъектов централизованного учета единой методологии учета</w:t>
        <w:br/>
        <w:t xml:space="preserve">и отче</w:t>
      </w:r>
      <w:r>
        <w:rPr>
          <w:rFonts w:ascii="Times New Roman" w:hAnsi="Times New Roman"/>
          <w:color w:val="000000"/>
          <w:sz w:val="28"/>
          <w:szCs w:val="28"/>
        </w:rPr>
        <w:t xml:space="preserve">тности проводились </w:t>
      </w:r>
      <w:r>
        <w:rPr>
          <w:rFonts w:ascii="Times New Roman" w:hAnsi="Times New Roman"/>
          <w:color w:val="000000"/>
          <w:sz w:val="28"/>
          <w:szCs w:val="28"/>
        </w:rPr>
        <w:t xml:space="preserve">за период с 1 января 2025 года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 31 марта 2026</w:t>
      </w:r>
      <w:r>
        <w:rPr>
          <w:rFonts w:ascii="Times New Roman" w:hAnsi="Times New Roman"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</w:rPr>
        <w:t xml:space="preserve">года.</w:t>
      </w:r>
      <w:r>
        <w:rPr>
          <w:rStyle w:val="674"/>
          <w:rFonts w:ascii="Times New Roman" w:hAnsi="Times New Roman"/>
          <w:sz w:val="28"/>
          <w:szCs w:val="28"/>
        </w:rPr>
      </w:r>
      <w:r>
        <w:rPr>
          <w:rStyle w:val="674"/>
          <w:rFonts w:ascii="Times New Roman" w:hAnsi="Times New Roman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Style w:val="687"/>
          <w:rFonts w:ascii="Times New Roman" w:hAnsi="Times New Roman"/>
          <w:i w:val="0"/>
          <w:sz w:val="28"/>
          <w:szCs w:val="28"/>
        </w:rPr>
      </w:pPr>
      <w:r>
        <w:rPr>
          <w:rStyle w:val="687"/>
          <w:rFonts w:ascii="Times New Roman" w:hAnsi="Times New Roman"/>
          <w:i w:val="0"/>
          <w:sz w:val="28"/>
          <w:szCs w:val="28"/>
        </w:rPr>
        <w:t xml:space="preserve">По итогам проведенных </w:t>
      </w:r>
      <w:r>
        <w:rPr>
          <w:rStyle w:val="687"/>
          <w:rFonts w:ascii="Times New Roman" w:hAnsi="Times New Roman"/>
          <w:i w:val="0"/>
          <w:sz w:val="28"/>
          <w:szCs w:val="28"/>
        </w:rPr>
        <w:t xml:space="preserve">аудиторских </w:t>
      </w:r>
      <w:r>
        <w:rPr>
          <w:rStyle w:val="687"/>
          <w:rFonts w:ascii="Times New Roman" w:hAnsi="Times New Roman"/>
          <w:i w:val="0"/>
          <w:sz w:val="28"/>
          <w:szCs w:val="28"/>
        </w:rPr>
        <w:t xml:space="preserve">мероприятий </w:t>
      </w:r>
      <w:r>
        <w:rPr>
          <w:rStyle w:val="687"/>
          <w:rFonts w:ascii="Times New Roman" w:hAnsi="Times New Roman"/>
          <w:i w:val="0"/>
          <w:sz w:val="28"/>
          <w:szCs w:val="28"/>
        </w:rPr>
        <w:t xml:space="preserve">2</w:t>
      </w:r>
      <w:r>
        <w:rPr>
          <w:rStyle w:val="687"/>
          <w:rFonts w:ascii="Times New Roman" w:hAnsi="Times New Roman"/>
          <w:i w:val="0"/>
          <w:sz w:val="28"/>
          <w:szCs w:val="28"/>
        </w:rPr>
        <w:t xml:space="preserve">5, 29 и 30</w:t>
      </w:r>
      <w:r>
        <w:rPr>
          <w:rStyle w:val="687"/>
          <w:rFonts w:ascii="Times New Roman" w:hAnsi="Times New Roman"/>
          <w:i w:val="0"/>
          <w:sz w:val="28"/>
          <w:szCs w:val="28"/>
        </w:rPr>
        <w:t xml:space="preserve"> июня 2026 года были подписаны заключения № 11, 12, 13, 14, 15, 16, 17, 18 и 19.</w:t>
      </w:r>
      <w:r>
        <w:rPr>
          <w:rStyle w:val="687"/>
          <w:rFonts w:ascii="Times New Roman" w:hAnsi="Times New Roman"/>
          <w:i w:val="0"/>
          <w:sz w:val="28"/>
          <w:szCs w:val="28"/>
        </w:rPr>
      </w:r>
      <w:r>
        <w:rPr>
          <w:rStyle w:val="687"/>
          <w:rFonts w:ascii="Times New Roman" w:hAnsi="Times New Roman"/>
          <w:i w:val="0"/>
          <w:sz w:val="28"/>
          <w:szCs w:val="28"/>
        </w:rPr>
      </w:r>
    </w:p>
    <w:p>
      <w:pPr>
        <w:pStyle w:val="670"/>
        <w:ind w:firstLine="709"/>
        <w:jc w:val="both"/>
        <w:spacing w:after="0" w:line="240" w:lineRule="auto"/>
        <w:rPr>
          <w:rStyle w:val="687"/>
          <w:rFonts w:ascii="Times New Roman" w:hAnsi="Times New Roman"/>
          <w:i w:val="0"/>
          <w:sz w:val="28"/>
          <w:szCs w:val="28"/>
        </w:rPr>
      </w:pPr>
      <w:r>
        <w:rPr>
          <w:rStyle w:val="687"/>
          <w:rFonts w:ascii="Times New Roman" w:hAnsi="Times New Roman"/>
          <w:i w:val="0"/>
          <w:sz w:val="28"/>
          <w:szCs w:val="28"/>
        </w:rPr>
        <w:t xml:space="preserve">Возражения субъектов бюджетных процедур по результатам проведенных аудиторских мероприятий отсутствуют.</w:t>
      </w:r>
      <w:r>
        <w:rPr>
          <w:rStyle w:val="687"/>
          <w:rFonts w:ascii="Times New Roman" w:hAnsi="Times New Roman"/>
          <w:i w:val="0"/>
          <w:sz w:val="28"/>
          <w:szCs w:val="28"/>
        </w:rPr>
      </w:r>
    </w:p>
    <w:sectPr>
      <w:headerReference w:type="default" r:id="rId9"/>
      <w:headerReference w:type="even" r:id="rId10"/>
      <w:footerReference w:type="even" r:id="rId11"/>
      <w:footnotePr/>
      <w:endnotePr/>
      <w:type w:val="nextPage"/>
      <w:pgSz w:w="11906" w:h="16838" w:orient="portrait"/>
      <w:pgMar w:top="1134" w:right="567" w:bottom="1134" w:left="1134" w:header="284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8"/>
      <w:rPr>
        <w:rStyle w:val="682"/>
      </w:rPr>
      <w:framePr w:wrap="around" w:vAnchor="text" w:hAnchor="margin" w:xAlign="right" w:y="1"/>
    </w:pPr>
    <w:r>
      <w:rPr>
        <w:rStyle w:val="682"/>
      </w:rPr>
      <w:fldChar w:fldCharType="begin"/>
    </w:r>
    <w:r>
      <w:rPr>
        <w:rStyle w:val="682"/>
      </w:rPr>
      <w:instrText xml:space="preserve">PAGE  </w:instrText>
    </w:r>
    <w:r>
      <w:rPr>
        <w:rStyle w:val="682"/>
      </w:rPr>
      <w:fldChar w:fldCharType="end"/>
    </w:r>
    <w:r>
      <w:rPr>
        <w:rStyle w:val="682"/>
      </w:rPr>
    </w:r>
    <w:r>
      <w:rPr>
        <w:rStyle w:val="682"/>
      </w:rPr>
    </w:r>
  </w:p>
  <w:p>
    <w:pPr>
      <w:pStyle w:val="678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6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2</w:t>
    </w:r>
    <w:r>
      <w:rPr>
        <w:rFonts w:ascii="Times New Roman" w:hAnsi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6"/>
      <w:rPr>
        <w:rStyle w:val="682"/>
      </w:rPr>
      <w:framePr w:wrap="around" w:vAnchor="text" w:hAnchor="margin" w:xAlign="center" w:y="1"/>
    </w:pPr>
    <w:r>
      <w:rPr>
        <w:rStyle w:val="682"/>
      </w:rPr>
      <w:fldChar w:fldCharType="begin"/>
    </w:r>
    <w:r>
      <w:rPr>
        <w:rStyle w:val="682"/>
      </w:rPr>
      <w:instrText xml:space="preserve">PAGE  </w:instrText>
    </w:r>
    <w:r>
      <w:rPr>
        <w:rStyle w:val="682"/>
      </w:rPr>
      <w:fldChar w:fldCharType="end"/>
    </w:r>
    <w:r>
      <w:rPr>
        <w:rStyle w:val="682"/>
      </w:rPr>
    </w:r>
    <w:r>
      <w:rPr>
        <w:rStyle w:val="682"/>
      </w:rPr>
    </w:r>
  </w:p>
  <w:p>
    <w:pPr>
      <w:pStyle w:val="67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7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70"/>
    <w:next w:val="67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7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70"/>
    <w:next w:val="670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0"/>
    <w:next w:val="67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0"/>
    <w:next w:val="67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0"/>
    <w:next w:val="67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0"/>
    <w:next w:val="67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0"/>
    <w:next w:val="67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0"/>
    <w:next w:val="67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0"/>
    <w:next w:val="67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0"/>
    <w:next w:val="67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0"/>
    <w:next w:val="670"/>
    <w:uiPriority w:val="99"/>
    <w:unhideWhenUsed/>
    <w:pPr>
      <w:spacing w:after="0" w:afterAutospacing="0"/>
    </w:pPr>
  </w:style>
  <w:style w:type="paragraph" w:styleId="670" w:default="1">
    <w:name w:val="Normal"/>
    <w:next w:val="670"/>
    <w:link w:val="670"/>
    <w:qFormat/>
    <w:pPr>
      <w:spacing w:after="200" w:line="276" w:lineRule="auto"/>
    </w:pPr>
    <w:rPr>
      <w:rFonts w:ascii="Calibri" w:hAnsi="Calibri"/>
      <w:sz w:val="22"/>
      <w:szCs w:val="22"/>
      <w:lang w:val="ru-RU" w:eastAsia="ru-RU" w:bidi="ar-SA"/>
    </w:rPr>
  </w:style>
  <w:style w:type="character" w:styleId="671">
    <w:name w:val="Основной шрифт абзаца"/>
    <w:next w:val="671"/>
    <w:link w:val="670"/>
    <w:uiPriority w:val="1"/>
    <w:semiHidden/>
    <w:unhideWhenUsed/>
  </w:style>
  <w:style w:type="table" w:styleId="672">
    <w:name w:val="Обычная таблица"/>
    <w:next w:val="672"/>
    <w:link w:val="670"/>
    <w:uiPriority w:val="99"/>
    <w:semiHidden/>
    <w:unhideWhenUsed/>
    <w:qFormat/>
    <w:tblPr/>
  </w:style>
  <w:style w:type="numbering" w:styleId="673">
    <w:name w:val="Нет списка"/>
    <w:next w:val="673"/>
    <w:link w:val="670"/>
    <w:uiPriority w:val="99"/>
    <w:semiHidden/>
    <w:unhideWhenUsed/>
  </w:style>
  <w:style w:type="paragraph" w:styleId="674">
    <w:name w:val="Основной текст"/>
    <w:basedOn w:val="670"/>
    <w:next w:val="674"/>
    <w:link w:val="675"/>
    <w:pPr>
      <w:spacing w:after="120" w:line="240" w:lineRule="auto"/>
    </w:pPr>
    <w:rPr>
      <w:rFonts w:ascii="Times New Roman" w:hAnsi="Times New Roman"/>
      <w:bCs/>
      <w:sz w:val="28"/>
      <w:szCs w:val="24"/>
    </w:rPr>
  </w:style>
  <w:style w:type="character" w:styleId="675">
    <w:name w:val="Основной текст Знак"/>
    <w:next w:val="675"/>
    <w:link w:val="674"/>
    <w:rPr>
      <w:bCs/>
      <w:sz w:val="28"/>
      <w:szCs w:val="24"/>
      <w:lang w:val="ru-RU" w:eastAsia="ru-RU" w:bidi="ar-SA"/>
    </w:rPr>
  </w:style>
  <w:style w:type="paragraph" w:styleId="676">
    <w:name w:val="Верхний колонтитул"/>
    <w:basedOn w:val="670"/>
    <w:next w:val="676"/>
    <w:link w:val="6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77">
    <w:name w:val="Верхний колонтитул Знак"/>
    <w:next w:val="677"/>
    <w:link w:val="676"/>
    <w:uiPriority w:val="99"/>
    <w:rPr>
      <w:rFonts w:ascii="Calibri" w:hAnsi="Calibri"/>
      <w:sz w:val="22"/>
      <w:szCs w:val="22"/>
      <w:lang w:val="ru-RU" w:eastAsia="ru-RU" w:bidi="ar-SA"/>
    </w:rPr>
  </w:style>
  <w:style w:type="paragraph" w:styleId="678">
    <w:name w:val="Нижний колонтитул"/>
    <w:basedOn w:val="670"/>
    <w:next w:val="678"/>
    <w:link w:val="679"/>
    <w:unhideWhenUsed/>
    <w:pPr>
      <w:tabs>
        <w:tab w:val="center" w:pos="4677" w:leader="none"/>
        <w:tab w:val="right" w:pos="9355" w:leader="none"/>
      </w:tabs>
    </w:pPr>
  </w:style>
  <w:style w:type="character" w:styleId="679">
    <w:name w:val="Нижний колонтитул Знак"/>
    <w:next w:val="679"/>
    <w:link w:val="678"/>
    <w:rPr>
      <w:rFonts w:ascii="Calibri" w:hAnsi="Calibri"/>
      <w:sz w:val="22"/>
      <w:szCs w:val="22"/>
      <w:lang w:val="ru-RU" w:eastAsia="ru-RU" w:bidi="ar-SA"/>
    </w:rPr>
  </w:style>
  <w:style w:type="paragraph" w:styleId="680">
    <w:name w:val="Основной текст 2"/>
    <w:basedOn w:val="670"/>
    <w:next w:val="680"/>
    <w:link w:val="681"/>
    <w:pPr>
      <w:spacing w:after="120" w:line="480" w:lineRule="auto"/>
    </w:pPr>
    <w:rPr>
      <w:rFonts w:ascii="Times New Roman" w:hAnsi="Times New Roman"/>
      <w:bCs/>
      <w:sz w:val="28"/>
      <w:szCs w:val="24"/>
    </w:rPr>
  </w:style>
  <w:style w:type="character" w:styleId="681">
    <w:name w:val="Основной текст 2 Знак"/>
    <w:next w:val="681"/>
    <w:link w:val="680"/>
    <w:rPr>
      <w:bCs/>
      <w:sz w:val="28"/>
      <w:szCs w:val="24"/>
      <w:lang w:val="ru-RU" w:eastAsia="ru-RU" w:bidi="ar-SA"/>
    </w:rPr>
  </w:style>
  <w:style w:type="character" w:styleId="682">
    <w:name w:val="Номер страницы"/>
    <w:basedOn w:val="671"/>
    <w:next w:val="682"/>
    <w:link w:val="670"/>
  </w:style>
  <w:style w:type="paragraph" w:styleId="683">
    <w:name w:val="Название"/>
    <w:basedOn w:val="670"/>
    <w:next w:val="683"/>
    <w:link w:val="686"/>
    <w:qFormat/>
    <w:pPr>
      <w:ind w:firstLine="567"/>
      <w:jc w:val="center"/>
      <w:spacing w:after="0" w:line="240" w:lineRule="auto"/>
      <w:widowControl w:val="off"/>
      <w:outlineLvl w:val="0"/>
    </w:pPr>
    <w:rPr>
      <w:rFonts w:ascii="Times New Roman" w:hAnsi="Times New Roman"/>
      <w:b/>
      <w:bCs/>
      <w:sz w:val="26"/>
      <w:szCs w:val="26"/>
    </w:rPr>
  </w:style>
  <w:style w:type="paragraph" w:styleId="684">
    <w:name w:val="Текст выноски"/>
    <w:basedOn w:val="670"/>
    <w:next w:val="684"/>
    <w:link w:val="670"/>
    <w:semiHidden/>
    <w:rPr>
      <w:rFonts w:ascii="Tahoma" w:hAnsi="Tahoma" w:cs="Tahoma"/>
      <w:sz w:val="16"/>
      <w:szCs w:val="16"/>
    </w:rPr>
  </w:style>
  <w:style w:type="paragraph" w:styleId="685">
    <w:name w:val="Абзац списка"/>
    <w:basedOn w:val="670"/>
    <w:next w:val="685"/>
    <w:link w:val="670"/>
    <w:uiPriority w:val="34"/>
    <w:qFormat/>
    <w:pPr>
      <w:contextualSpacing/>
      <w:ind w:left="720"/>
    </w:pPr>
  </w:style>
  <w:style w:type="character" w:styleId="686">
    <w:name w:val="Название Знак"/>
    <w:next w:val="686"/>
    <w:link w:val="683"/>
    <w:rPr>
      <w:b/>
      <w:bCs/>
      <w:sz w:val="26"/>
      <w:szCs w:val="26"/>
    </w:rPr>
  </w:style>
  <w:style w:type="character" w:styleId="687">
    <w:name w:val="Выделение"/>
    <w:next w:val="687"/>
    <w:link w:val="670"/>
    <w:qFormat/>
    <w:rPr>
      <w:i/>
      <w:iCs/>
    </w:rPr>
  </w:style>
  <w:style w:type="character" w:styleId="886" w:default="1">
    <w:name w:val="Default Paragraph Font"/>
    <w:uiPriority w:val="1"/>
    <w:semiHidden/>
    <w:unhideWhenUsed/>
  </w:style>
  <w:style w:type="numbering" w:styleId="887" w:default="1">
    <w:name w:val="No List"/>
    <w:uiPriority w:val="99"/>
    <w:semiHidden/>
    <w:unhideWhenUsed/>
  </w:style>
  <w:style w:type="table" w:styleId="88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Нижегородской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creator>rogozhinae</dc:creator>
  <cp:lastModifiedBy>Селиванов Алексей Геннадьевич</cp:lastModifiedBy>
  <cp:revision>26</cp:revision>
  <dcterms:created xsi:type="dcterms:W3CDTF">2024-12-24T07:13:00Z</dcterms:created>
  <dcterms:modified xsi:type="dcterms:W3CDTF">2026-06-30T11:38:56Z</dcterms:modified>
  <cp:version>917504</cp:version>
</cp:coreProperties>
</file>